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F5D5E" w14:textId="44EEB047" w:rsidR="00000000" w:rsidRPr="00E34DC9" w:rsidRDefault="00E34DC9">
      <w:pPr>
        <w:rPr>
          <w:rFonts w:ascii="Times" w:hAnsi="Times"/>
          <w:sz w:val="20"/>
          <w:szCs w:val="20"/>
        </w:rPr>
      </w:pPr>
      <w:r w:rsidRPr="00E34DC9">
        <w:rPr>
          <w:rFonts w:ascii="Times" w:hAnsi="Times"/>
          <w:sz w:val="20"/>
          <w:szCs w:val="20"/>
        </w:rPr>
        <w:t>L’Europa centrale dopo i trattati di pace del 1919-1920</w:t>
      </w:r>
    </w:p>
    <w:sectPr w:rsidR="001B0D0E" w:rsidRPr="00E34DC9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DC9"/>
    <w:rsid w:val="0017281D"/>
    <w:rsid w:val="002B7DF1"/>
    <w:rsid w:val="00A646E2"/>
    <w:rsid w:val="00E34DC9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36A5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2</cp:revision>
  <dcterms:created xsi:type="dcterms:W3CDTF">2025-03-10T10:11:00Z</dcterms:created>
  <dcterms:modified xsi:type="dcterms:W3CDTF">2025-08-25T07:37:00Z</dcterms:modified>
</cp:coreProperties>
</file>